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6F92" w14:textId="77777777" w:rsidR="00EA12B9" w:rsidRDefault="00EA12B9" w:rsidP="00004A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1DB90A" w14:textId="77777777" w:rsidR="00EA12B9" w:rsidRDefault="00EA12B9" w:rsidP="00004A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A12B9">
        <w:rPr>
          <w:rFonts w:ascii="Times New Roman" w:hAnsi="Times New Roman" w:cs="Times New Roman"/>
          <w:sz w:val="28"/>
          <w:szCs w:val="28"/>
          <w:lang w:val="en-US"/>
        </w:rPr>
        <w:t>JUDUL TIDAK LEBIH DARI 15 KATA</w:t>
      </w:r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5DAE3D" w14:textId="2DC46115" w:rsidR="00EA12B9" w:rsidRPr="00EA12B9" w:rsidRDefault="00EA12B9" w:rsidP="00004AB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14)</w:t>
      </w:r>
    </w:p>
    <w:p w14:paraId="41D27734" w14:textId="77777777" w:rsidR="00EA12B9" w:rsidRDefault="00EA12B9" w:rsidP="00004A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EEFBBA" w14:textId="1F5550C6" w:rsidR="00EE1F1D" w:rsidRDefault="00004AB9" w:rsidP="00004AB9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04AB9">
        <w:rPr>
          <w:rFonts w:ascii="Times New Roman" w:hAnsi="Times New Roman" w:cs="Times New Roman"/>
          <w:sz w:val="24"/>
          <w:szCs w:val="24"/>
          <w:lang w:val="en-US"/>
        </w:rPr>
        <w:t>Nama Mahasiswa</w:t>
      </w:r>
      <w:r w:rsidRPr="00004AB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1*,</w:t>
      </w:r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Nama </w:t>
      </w:r>
      <w:proofErr w:type="spellStart"/>
      <w:r w:rsidR="00BB10CE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BB10CE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  <w:r w:rsidRPr="00004AB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48D26F92" w14:textId="3AF1669A" w:rsidR="00004AB9" w:rsidRDefault="00004AB9" w:rsidP="00004A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Ekonomi</w:t>
      </w:r>
      <w:r w:rsidR="00BB10C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BB10CE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</w:p>
    <w:p w14:paraId="59F9FF3B" w14:textId="72493706" w:rsidR="00BB10CE" w:rsidRDefault="00BB10CE" w:rsidP="00004A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Kuningan</w:t>
      </w:r>
      <w:proofErr w:type="spellEnd"/>
    </w:p>
    <w:p w14:paraId="634B2CBF" w14:textId="7DD0CC2D" w:rsidR="00004AB9" w:rsidRDefault="00004AB9" w:rsidP="00004A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Universitas XXX</w:t>
      </w:r>
    </w:p>
    <w:p w14:paraId="39669CDC" w14:textId="0A4A72FD" w:rsidR="00004AB9" w:rsidRDefault="00EA12B9" w:rsidP="00004A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spellStart"/>
      <w:r w:rsidR="00004AB9">
        <w:rPr>
          <w:rFonts w:ascii="Times New Roman" w:hAnsi="Times New Roman" w:cs="Times New Roman"/>
          <w:sz w:val="24"/>
          <w:szCs w:val="24"/>
          <w:lang w:val="en-US"/>
        </w:rPr>
        <w:t>Koresponden</w:t>
      </w:r>
      <w:proofErr w:type="spellEnd"/>
      <w:r w:rsidR="00004AB9">
        <w:rPr>
          <w:rFonts w:ascii="Times New Roman" w:hAnsi="Times New Roman" w:cs="Times New Roman"/>
          <w:sz w:val="24"/>
          <w:szCs w:val="24"/>
          <w:lang w:val="en-US"/>
        </w:rPr>
        <w:t xml:space="preserve">: email </w:t>
      </w:r>
      <w:r w:rsidR="00BB10C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B10CE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"mailto:</w:instrText>
      </w:r>
      <w:r w:rsidR="00BB10CE" w:rsidRPr="00BB10CE">
        <w:rPr>
          <w:rFonts w:ascii="Times New Roman" w:hAnsi="Times New Roman" w:cs="Times New Roman"/>
          <w:sz w:val="24"/>
          <w:szCs w:val="24"/>
          <w:lang w:val="en-US"/>
        </w:rPr>
        <w:instrText>mahasiswa@uniku.ac.id</w:instrText>
      </w:r>
      <w:r w:rsidR="00BB10CE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="00BB10C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BB10CE" w:rsidRPr="005C1C0F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mahasiswa@uniku.ac.id</w:t>
      </w:r>
      <w:r w:rsidR="00BB10C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78582A6B" w14:textId="6DB17A00" w:rsidR="00004AB9" w:rsidRDefault="00004AB9" w:rsidP="00004A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CA24BC2" w14:textId="59B16FB5" w:rsidR="00004AB9" w:rsidRDefault="00004AB9" w:rsidP="00004A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AB9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  <w:r w:rsidR="00EA1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EA12B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EA12B9"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12, </w:t>
      </w:r>
      <w:r w:rsidR="00EA12B9" w:rsidRPr="00EA12B9">
        <w:rPr>
          <w:rFonts w:ascii="Times New Roman" w:hAnsi="Times New Roman" w:cs="Times New Roman"/>
          <w:b/>
          <w:bCs/>
          <w:sz w:val="24"/>
          <w:szCs w:val="24"/>
          <w:lang w:val="en-US"/>
        </w:rPr>
        <w:t>Bold</w:t>
      </w:r>
      <w:r w:rsidR="00EA12B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9F18D21" w14:textId="652A0EE0" w:rsidR="00004AB9" w:rsidRDefault="00004AB9" w:rsidP="00004A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berisikan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250 kata, yang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menguatkan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proofErr w:type="gram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proofErr w:type="gram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Lokus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> 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pendukung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implikasi</w:t>
      </w:r>
      <w:proofErr w:type="spellEnd"/>
      <w:r w:rsidR="00EA12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A12B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EA12B9"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</w:t>
      </w:r>
    </w:p>
    <w:p w14:paraId="2A8118D7" w14:textId="35A2C945" w:rsidR="00004AB9" w:rsidRDefault="00004AB9" w:rsidP="00004A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F58BCE" w14:textId="2069FF1B" w:rsidR="00004AB9" w:rsidRDefault="00004AB9" w:rsidP="00004A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3-5 Kata, 3-5 Kata,</w:t>
      </w:r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3-5 Kata,</w:t>
      </w:r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3-5 Kata, 3-5 Kata.</w:t>
      </w:r>
    </w:p>
    <w:p w14:paraId="1D6C80C8" w14:textId="6695478E" w:rsidR="00004AB9" w:rsidRDefault="00004AB9" w:rsidP="00004A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E6F6B2" w14:textId="0A403FA3" w:rsidR="00004AB9" w:rsidRPr="00EA12B9" w:rsidRDefault="00004AB9" w:rsidP="00004A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12B9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PENDAHULUAN</w:t>
      </w:r>
      <w:r w:rsidR="00EA1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EA12B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EA12B9"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12, Bold)</w:t>
      </w:r>
    </w:p>
    <w:p w14:paraId="40F97447" w14:textId="1989A5B5" w:rsidR="00004AB9" w:rsidRPr="00004AB9" w:rsidRDefault="00004AB9" w:rsidP="00004A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Pendahuluan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melatar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belakangi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Replika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terdahulu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>.  Hal-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dituliskan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pendahuluan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</w:p>
    <w:p w14:paraId="3CEEA993" w14:textId="77777777" w:rsidR="00004AB9" w:rsidRPr="00004AB9" w:rsidRDefault="00004AB9" w:rsidP="00004A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empiris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penemuan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terdahulu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Problematika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AEC47D1" w14:textId="77777777" w:rsidR="00004AB9" w:rsidRPr="00004AB9" w:rsidRDefault="00004AB9" w:rsidP="00004A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faktual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</w:p>
    <w:p w14:paraId="458BE77B" w14:textId="77777777" w:rsidR="00004AB9" w:rsidRPr="00004AB9" w:rsidRDefault="00004AB9" w:rsidP="00004A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04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4AB9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</w:p>
    <w:p w14:paraId="04FC6012" w14:textId="2BE90480" w:rsidR="00004AB9" w:rsidRDefault="00EA12B9" w:rsidP="00004A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 </w:t>
      </w:r>
    </w:p>
    <w:p w14:paraId="255E62A4" w14:textId="77777777" w:rsidR="00EA12B9" w:rsidRPr="00004AB9" w:rsidRDefault="00EA12B9" w:rsidP="00004A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706D3D" w14:textId="576C8701" w:rsidR="00004AB9" w:rsidRPr="00EA12B9" w:rsidRDefault="00EA12B9" w:rsidP="00EA12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12B9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</w:t>
      </w:r>
      <w:r w:rsidR="00F914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</w:t>
      </w:r>
      <w:r w:rsidRPr="00EA12B9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12, Bold)</w:t>
      </w:r>
    </w:p>
    <w:p w14:paraId="5154EC90" w14:textId="77777777" w:rsidR="00EA12B9" w:rsidRPr="00EA12B9" w:rsidRDefault="00EA12B9" w:rsidP="00EA12B9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menutup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proofErr w:type="gram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campuran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0424D5" w14:textId="77777777" w:rsidR="00EA12B9" w:rsidRPr="00EA12B9" w:rsidRDefault="00EA12B9" w:rsidP="000717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lastRenderedPageBreak/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jawabatan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dipecahkan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terukur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05D506" w14:textId="77777777" w:rsidR="00EA12B9" w:rsidRPr="00EA12B9" w:rsidRDefault="00EA12B9" w:rsidP="00EA12B9">
      <w:pPr>
        <w:rPr>
          <w:rFonts w:ascii="Times New Roman" w:hAnsi="Times New Roman" w:cs="Times New Roman"/>
          <w:sz w:val="24"/>
          <w:szCs w:val="24"/>
          <w:lang w:val="en-ID"/>
        </w:rPr>
      </w:pPr>
      <w:r w:rsidRPr="00EA12B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5ECA1242" w14:textId="77777777" w:rsidR="00EA12B9" w:rsidRPr="00EA12B9" w:rsidRDefault="00EA12B9" w:rsidP="000717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naratif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fenomenologi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tekait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berpengaruh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koresponden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diaggap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tergantung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kuantitas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Jika 2 orang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diasumsikan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mencukupinya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2B47F8" w14:textId="77777777" w:rsidR="00EA12B9" w:rsidRPr="00EA12B9" w:rsidRDefault="00EA12B9" w:rsidP="0007172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A12B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5C74AE56" w14:textId="1B8E8912" w:rsidR="00EA12B9" w:rsidRPr="00EA12B9" w:rsidRDefault="00EA12B9" w:rsidP="0007172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Campuran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dselanjutnya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kualiatif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statistic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terukur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tergantung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strategi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eksplanatori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eksploratori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1F8FDF" w14:textId="77777777" w:rsidR="00EA12B9" w:rsidRPr="00EA12B9" w:rsidRDefault="00EA12B9" w:rsidP="00EA12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Penulisannya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 </w:t>
      </w:r>
    </w:p>
    <w:p w14:paraId="462D3A3A" w14:textId="77777777" w:rsidR="00EA12B9" w:rsidRPr="00EA12B9" w:rsidRDefault="00EA12B9" w:rsidP="00EA12B9">
      <w:pPr>
        <w:ind w:left="720"/>
        <w:rPr>
          <w:rFonts w:ascii="Times New Roman" w:hAnsi="Times New Roman" w:cs="Times New Roman"/>
          <w:sz w:val="24"/>
          <w:szCs w:val="24"/>
          <w:lang w:val="en-ID"/>
        </w:rPr>
      </w:pPr>
    </w:p>
    <w:p w14:paraId="332DDA23" w14:textId="036892B1" w:rsidR="00EA12B9" w:rsidRDefault="00EA12B9" w:rsidP="00EA12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12B9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 DAN PEMBAHASAN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12, Bold)</w:t>
      </w:r>
    </w:p>
    <w:p w14:paraId="1336BC81" w14:textId="01164FCE" w:rsidR="00EA12B9" w:rsidRPr="00EA12B9" w:rsidRDefault="00EA12B9" w:rsidP="00EA12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3DDA02" w14:textId="0BC12343" w:rsidR="00EA12B9" w:rsidRDefault="00EA12B9" w:rsidP="00EA12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menjabarkan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hasil-hasil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penemuan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terdahulu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pendahuluan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A12B9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proofErr w:type="gram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perumusan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kalkulasi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dan uji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ditunjukkan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kalkulasi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ditunjukkan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3AB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93A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8579B0" w14:textId="059A445C" w:rsidR="00C93ABD" w:rsidRDefault="00C93ABD" w:rsidP="00EA12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153D91" w14:textId="18348463" w:rsidR="00C93ABD" w:rsidRPr="00C93ABD" w:rsidRDefault="00C93ABD" w:rsidP="00C93ABD">
      <w:pPr>
        <w:keepNext/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</w:pPr>
      <w:proofErr w:type="spellStart"/>
      <w:r w:rsidRPr="00C93ABD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t>Tab</w:t>
      </w:r>
      <w:r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t>el</w:t>
      </w:r>
      <w:proofErr w:type="spellEnd"/>
      <w:r w:rsidRPr="00C93ABD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t xml:space="preserve"> </w:t>
      </w:r>
      <w:r w:rsidRPr="00C93ABD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fldChar w:fldCharType="begin"/>
      </w:r>
      <w:r w:rsidRPr="00C93ABD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instrText xml:space="preserve"> SEQ Table \* ARABIC </w:instrText>
      </w:r>
      <w:r w:rsidRPr="00C93ABD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fldChar w:fldCharType="separate"/>
      </w:r>
      <w:r w:rsidRPr="00C93ABD">
        <w:rPr>
          <w:rFonts w:ascii="Times New Roman" w:eastAsia="Calibri" w:hAnsi="Times New Roman" w:cs="Times New Roman"/>
          <w:b/>
          <w:iCs/>
          <w:noProof/>
          <w:sz w:val="18"/>
          <w:szCs w:val="18"/>
          <w:lang w:val="en-US"/>
        </w:rPr>
        <w:t>1</w:t>
      </w:r>
      <w:r w:rsidRPr="00C93ABD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fldChar w:fldCharType="end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4"/>
      </w:tblGrid>
      <w:tr w:rsidR="00C93ABD" w:rsidRPr="00C93ABD" w14:paraId="1D05D4AD" w14:textId="77777777" w:rsidTr="001E6CE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CE7A085" w14:textId="77777777" w:rsidR="00C93ABD" w:rsidRPr="00C93ABD" w:rsidRDefault="00C93ABD" w:rsidP="00C93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Top = Bottom = 3cm</w:t>
            </w:r>
          </w:p>
        </w:tc>
      </w:tr>
      <w:tr w:rsidR="00C93ABD" w:rsidRPr="00C93ABD" w14:paraId="7A31D0B4" w14:textId="77777777" w:rsidTr="001E6CE0">
        <w:trPr>
          <w:jc w:val="center"/>
        </w:trPr>
        <w:tc>
          <w:tcPr>
            <w:tcW w:w="0" w:type="auto"/>
            <w:shd w:val="clear" w:color="auto" w:fill="auto"/>
          </w:tcPr>
          <w:p w14:paraId="03BCB9D5" w14:textId="77777777" w:rsidR="00C93ABD" w:rsidRPr="00C93ABD" w:rsidRDefault="00C93ABD" w:rsidP="00C93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Left = Right = 3cm</w:t>
            </w:r>
          </w:p>
        </w:tc>
      </w:tr>
      <w:tr w:rsidR="00C93ABD" w:rsidRPr="00C93ABD" w14:paraId="5034336A" w14:textId="77777777" w:rsidTr="001E6CE0">
        <w:trPr>
          <w:jc w:val="center"/>
        </w:trPr>
        <w:tc>
          <w:tcPr>
            <w:tcW w:w="0" w:type="auto"/>
            <w:shd w:val="clear" w:color="auto" w:fill="auto"/>
          </w:tcPr>
          <w:p w14:paraId="64208FA9" w14:textId="77777777" w:rsidR="00C93ABD" w:rsidRPr="00C93ABD" w:rsidRDefault="00C93ABD" w:rsidP="00C93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Header = Footer = 1,25cm</w:t>
            </w:r>
          </w:p>
        </w:tc>
      </w:tr>
      <w:tr w:rsidR="00C93ABD" w:rsidRPr="00C93ABD" w14:paraId="49BC0BFE" w14:textId="77777777" w:rsidTr="001E6CE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DA54E5C" w14:textId="77777777" w:rsidR="00C93ABD" w:rsidRPr="00C93ABD" w:rsidRDefault="00C93ABD" w:rsidP="00C93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Use a </w:t>
            </w:r>
            <w:proofErr w:type="gramStart"/>
            <w:r w:rsidRPr="00C93AB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two column</w:t>
            </w:r>
            <w:proofErr w:type="gramEnd"/>
            <w:r w:rsidRPr="00C93AB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format.</w:t>
            </w:r>
          </w:p>
        </w:tc>
      </w:tr>
    </w:tbl>
    <w:p w14:paraId="4E24F0C1" w14:textId="73216C98" w:rsidR="00C93ABD" w:rsidRDefault="00C93ABD" w:rsidP="00C93AB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645007FD" w14:textId="6D4F7004" w:rsidR="00C93ABD" w:rsidRDefault="00C93ABD" w:rsidP="00C93AB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1B893401" w14:textId="799CC93A" w:rsidR="00C93ABD" w:rsidRDefault="00C93ABD" w:rsidP="00C93AB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0EE09F20" w14:textId="5A453536" w:rsidR="00C93ABD" w:rsidRDefault="00C93ABD" w:rsidP="00C93AB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2C17475D" w14:textId="77777777" w:rsidR="00C93ABD" w:rsidRPr="00C93ABD" w:rsidRDefault="00C93ABD" w:rsidP="00C93AB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7A350203" w14:textId="6FABF051" w:rsidR="00C93ABD" w:rsidRPr="00C93ABD" w:rsidRDefault="00C93ABD" w:rsidP="00C93AB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18"/>
          <w:szCs w:val="18"/>
          <w:lang w:val="en-US"/>
        </w:rPr>
      </w:pPr>
      <w:proofErr w:type="spellStart"/>
      <w:r w:rsidRPr="00C93ABD">
        <w:rPr>
          <w:rFonts w:ascii="Times New Roman" w:eastAsia="Calibri" w:hAnsi="Times New Roman" w:cs="Times New Roman"/>
          <w:b/>
          <w:iCs/>
          <w:color w:val="000000"/>
          <w:sz w:val="18"/>
          <w:szCs w:val="18"/>
          <w:lang w:val="en-US"/>
        </w:rPr>
        <w:t>Tab</w:t>
      </w:r>
      <w:r>
        <w:rPr>
          <w:rFonts w:ascii="Times New Roman" w:eastAsia="Calibri" w:hAnsi="Times New Roman" w:cs="Times New Roman"/>
          <w:b/>
          <w:iCs/>
          <w:color w:val="000000"/>
          <w:sz w:val="18"/>
          <w:szCs w:val="18"/>
          <w:lang w:val="en-US"/>
        </w:rPr>
        <w:t>el</w:t>
      </w:r>
      <w:proofErr w:type="spellEnd"/>
      <w:r w:rsidRPr="00C93ABD">
        <w:rPr>
          <w:rFonts w:ascii="Times New Roman" w:eastAsia="Calibri" w:hAnsi="Times New Roman" w:cs="Times New Roman"/>
          <w:b/>
          <w:iCs/>
          <w:color w:val="000000"/>
          <w:sz w:val="18"/>
          <w:szCs w:val="18"/>
          <w:lang w:val="en-US"/>
        </w:rPr>
        <w:t xml:space="preserve"> 2 Font Size for Paper</w:t>
      </w:r>
    </w:p>
    <w:tbl>
      <w:tblPr>
        <w:tblW w:w="48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00"/>
        <w:gridCol w:w="858"/>
        <w:gridCol w:w="1279"/>
      </w:tblGrid>
      <w:tr w:rsidR="00C93ABD" w:rsidRPr="00C93ABD" w14:paraId="5479F9E2" w14:textId="77777777" w:rsidTr="001E6CE0">
        <w:trPr>
          <w:trHeight w:val="134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2E7D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b/>
                <w:color w:val="000000"/>
                <w:sz w:val="18"/>
                <w:szCs w:val="18"/>
                <w:lang w:val="en-US"/>
              </w:rPr>
              <w:t>Font Size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65EE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b/>
                <w:color w:val="000000"/>
                <w:sz w:val="18"/>
                <w:szCs w:val="18"/>
                <w:lang w:val="en-US"/>
              </w:rPr>
              <w:t>Appearance (in Times New Roman)</w:t>
            </w:r>
          </w:p>
        </w:tc>
      </w:tr>
      <w:tr w:rsidR="00C93ABD" w:rsidRPr="00C93ABD" w14:paraId="48B8C6BB" w14:textId="77777777" w:rsidTr="001E6CE0">
        <w:trPr>
          <w:trHeight w:val="61"/>
          <w:jc w:val="center"/>
        </w:trPr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742333" w14:textId="77777777" w:rsidR="00C93ABD" w:rsidRPr="00C93ABD" w:rsidRDefault="00C93ABD" w:rsidP="00C93ABD">
            <w:pPr>
              <w:spacing w:after="0" w:line="240" w:lineRule="auto"/>
              <w:jc w:val="both"/>
              <w:rPr>
                <w:rFonts w:ascii="Times New Roman" w:eastAsia="Calibri" w:hAnsi="SimSun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530B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b/>
                <w:color w:val="000000"/>
                <w:sz w:val="18"/>
                <w:szCs w:val="18"/>
                <w:lang w:val="en-US"/>
              </w:rPr>
              <w:t>Regular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759B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b/>
                <w:color w:val="000000"/>
                <w:sz w:val="18"/>
                <w:szCs w:val="18"/>
                <w:lang w:val="en-US"/>
              </w:rPr>
              <w:t>Bold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A663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b/>
                <w:color w:val="000000"/>
                <w:sz w:val="18"/>
                <w:szCs w:val="18"/>
                <w:lang w:val="en-US"/>
              </w:rPr>
              <w:t>Miring</w:t>
            </w:r>
          </w:p>
        </w:tc>
      </w:tr>
      <w:tr w:rsidR="00C93ABD" w:rsidRPr="00C93ABD" w14:paraId="6036B49F" w14:textId="77777777" w:rsidTr="001E6CE0">
        <w:trPr>
          <w:trHeight w:val="61"/>
          <w:jc w:val="center"/>
        </w:trPr>
        <w:tc>
          <w:tcPr>
            <w:tcW w:w="13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D890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FAFB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xxxxxxxxxxxxxxxxxxxxxxxxxxxxxxxxxxxxxxxxxxxxxxxxxxxxxxxxxxxxxxxxxxxxxxxxxxxxxx</w:t>
            </w:r>
          </w:p>
        </w:tc>
        <w:tc>
          <w:tcPr>
            <w:tcW w:w="85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53F7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E9F9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C93ABD" w:rsidRPr="00C93ABD" w14:paraId="33C8A3AC" w14:textId="77777777" w:rsidTr="001E6CE0">
        <w:trPr>
          <w:trHeight w:val="61"/>
          <w:jc w:val="center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1653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2A79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xxxxxxxxxxxxxxxxxxxxxxxxx</w:t>
            </w:r>
            <w:proofErr w:type="spellEnd"/>
          </w:p>
        </w:tc>
        <w:tc>
          <w:tcPr>
            <w:tcW w:w="8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1FE6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xxxxxxxxxxxxxx</w:t>
            </w:r>
            <w:proofErr w:type="spellEnd"/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A062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xxxxxxxxxxxxxxxxxxxxxxxxxxxxxxxxx</w:t>
            </w:r>
            <w:proofErr w:type="spellEnd"/>
          </w:p>
        </w:tc>
      </w:tr>
      <w:tr w:rsidR="00C93ABD" w:rsidRPr="00C93ABD" w14:paraId="528E9863" w14:textId="77777777" w:rsidTr="001E6CE0">
        <w:trPr>
          <w:trHeight w:val="61"/>
          <w:jc w:val="center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CFAF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2A05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xxxxxxxxxxxxxxxxxxxxxxxxxxxxxxxxxxxxxxx</w:t>
            </w:r>
            <w:proofErr w:type="spellEnd"/>
          </w:p>
        </w:tc>
        <w:tc>
          <w:tcPr>
            <w:tcW w:w="8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B332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538B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xxxxxxxxxxxxxxxxxxxxx</w:t>
            </w:r>
            <w:proofErr w:type="spellEnd"/>
          </w:p>
          <w:p w14:paraId="3F9BAED3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C93ABD" w:rsidRPr="00C93ABD" w14:paraId="3D64EE41" w14:textId="77777777" w:rsidTr="001E6CE0">
        <w:trPr>
          <w:trHeight w:val="80"/>
          <w:jc w:val="center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EF99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8E10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xxxxxxxxxxxx</w:t>
            </w:r>
            <w:proofErr w:type="spellEnd"/>
          </w:p>
        </w:tc>
        <w:tc>
          <w:tcPr>
            <w:tcW w:w="8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A83E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47B7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C93ABD" w:rsidRPr="00C93ABD" w14:paraId="296EE5B5" w14:textId="77777777" w:rsidTr="001E6CE0">
        <w:trPr>
          <w:trHeight w:val="61"/>
          <w:jc w:val="center"/>
        </w:trPr>
        <w:tc>
          <w:tcPr>
            <w:tcW w:w="13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04FC" w14:textId="77777777" w:rsidR="00C93ABD" w:rsidRPr="00C93ABD" w:rsidRDefault="00C93ABD" w:rsidP="00C93ABD">
            <w:pPr>
              <w:autoSpaceDN w:val="0"/>
              <w:spacing w:after="0" w:line="240" w:lineRule="auto"/>
              <w:jc w:val="center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1B6E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>xxxxxxxxxxxx</w:t>
            </w:r>
            <w:proofErr w:type="spellEnd"/>
          </w:p>
        </w:tc>
        <w:tc>
          <w:tcPr>
            <w:tcW w:w="85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034F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B7F4" w14:textId="77777777" w:rsidR="00C93ABD" w:rsidRPr="00C93ABD" w:rsidRDefault="00C93ABD" w:rsidP="00C93ABD">
            <w:pPr>
              <w:autoSpaceDN w:val="0"/>
              <w:spacing w:after="0" w:line="240" w:lineRule="auto"/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</w:pPr>
            <w:r w:rsidRPr="00C93ABD">
              <w:rPr>
                <w:rFonts w:ascii="Times New Roman" w:eastAsia="Calibri" w:hAnsi="SimSu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1E6F10F8" w14:textId="77777777" w:rsidR="00C93ABD" w:rsidRPr="00C93ABD" w:rsidRDefault="00C93ABD" w:rsidP="00C93A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25EAC71F" w14:textId="77777777" w:rsidR="00C93ABD" w:rsidRPr="00C93ABD" w:rsidRDefault="00C93ABD" w:rsidP="00C93AB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3AE5BF9D" w14:textId="69823081" w:rsidR="00C93ABD" w:rsidRDefault="00C93ABD" w:rsidP="00C93A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04B84A03" w14:textId="77777777" w:rsidR="00C93ABD" w:rsidRPr="00C93ABD" w:rsidRDefault="00C93ABD" w:rsidP="00C93A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C93ABD">
        <w:rPr>
          <w:rFonts w:ascii="Times New Roman" w:eastAsia="Calibri" w:hAnsi="Times New Roman" w:cs="Times New Roman"/>
          <w:noProof/>
          <w:sz w:val="24"/>
          <w:lang w:val="en-US"/>
        </w:rPr>
        <w:drawing>
          <wp:inline distT="0" distB="0" distL="0" distR="0" wp14:anchorId="03695D17" wp14:editId="7C24FF63">
            <wp:extent cx="2571750" cy="1285875"/>
            <wp:effectExtent l="0" t="0" r="0" b="9525"/>
            <wp:docPr id="6" name="Picture 1" descr="ice_screenshot_20171214-11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e_screenshot_20171214-1100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66" cy="129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BF72F" w14:textId="6BD9135B" w:rsidR="00C93ABD" w:rsidRPr="00C93ABD" w:rsidRDefault="00C93ABD" w:rsidP="00C93AB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44546A"/>
          <w:szCs w:val="18"/>
          <w:lang w:val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0"/>
          <w:szCs w:val="18"/>
          <w:lang w:val="en-US"/>
        </w:rPr>
        <w:t>Gambar</w:t>
      </w:r>
      <w:r w:rsidRPr="00C93ABD">
        <w:rPr>
          <w:rFonts w:ascii="Times New Roman" w:eastAsia="Calibri" w:hAnsi="Times New Roman" w:cs="Times New Roman"/>
          <w:b/>
          <w:iCs/>
          <w:color w:val="000000"/>
          <w:sz w:val="20"/>
          <w:szCs w:val="18"/>
          <w:lang w:val="en-US"/>
        </w:rPr>
        <w:t xml:space="preserve"> </w:t>
      </w:r>
      <w:r w:rsidRPr="00C93ABD">
        <w:rPr>
          <w:rFonts w:ascii="Times New Roman" w:eastAsia="Calibri" w:hAnsi="Times New Roman" w:cs="Times New Roman"/>
          <w:b/>
          <w:iCs/>
          <w:color w:val="000000"/>
          <w:sz w:val="20"/>
          <w:szCs w:val="18"/>
          <w:lang w:val="en-US"/>
        </w:rPr>
        <w:fldChar w:fldCharType="begin"/>
      </w:r>
      <w:r w:rsidRPr="00C93ABD">
        <w:rPr>
          <w:rFonts w:ascii="Times New Roman" w:eastAsia="Calibri" w:hAnsi="Times New Roman" w:cs="Times New Roman"/>
          <w:b/>
          <w:iCs/>
          <w:color w:val="000000"/>
          <w:sz w:val="20"/>
          <w:szCs w:val="18"/>
          <w:lang w:val="en-US"/>
        </w:rPr>
        <w:instrText xml:space="preserve"> SEQ Gambar \* ARABIC </w:instrText>
      </w:r>
      <w:r w:rsidRPr="00C93ABD">
        <w:rPr>
          <w:rFonts w:ascii="Times New Roman" w:eastAsia="Calibri" w:hAnsi="Times New Roman" w:cs="Times New Roman"/>
          <w:b/>
          <w:iCs/>
          <w:color w:val="000000"/>
          <w:sz w:val="20"/>
          <w:szCs w:val="18"/>
          <w:lang w:val="en-US"/>
        </w:rPr>
        <w:fldChar w:fldCharType="separate"/>
      </w:r>
      <w:r w:rsidRPr="00C93ABD">
        <w:rPr>
          <w:rFonts w:ascii="Times New Roman" w:eastAsia="Calibri" w:hAnsi="Times New Roman" w:cs="Times New Roman"/>
          <w:b/>
          <w:iCs/>
          <w:noProof/>
          <w:color w:val="000000"/>
          <w:sz w:val="20"/>
          <w:szCs w:val="18"/>
          <w:lang w:val="en-US"/>
        </w:rPr>
        <w:t>1</w:t>
      </w:r>
      <w:r w:rsidRPr="00C93ABD">
        <w:rPr>
          <w:rFonts w:ascii="Times New Roman" w:eastAsia="Calibri" w:hAnsi="Times New Roman" w:cs="Times New Roman"/>
          <w:b/>
          <w:iCs/>
          <w:color w:val="000000"/>
          <w:sz w:val="20"/>
          <w:szCs w:val="18"/>
          <w:lang w:val="en-US"/>
        </w:rPr>
        <w:fldChar w:fldCharType="end"/>
      </w:r>
      <w:r w:rsidRPr="00C93ABD">
        <w:rPr>
          <w:rFonts w:ascii="Times New Roman" w:eastAsia="Calibri" w:hAnsi="Times New Roman" w:cs="Times New Roman"/>
          <w:b/>
          <w:iCs/>
          <w:color w:val="000000"/>
          <w:sz w:val="20"/>
          <w:szCs w:val="18"/>
          <w:lang w:val="en-US"/>
        </w:rPr>
        <w:t>. The Graphics Sample Line should use a contrasting color</w:t>
      </w:r>
    </w:p>
    <w:p w14:paraId="5946925A" w14:textId="77777777" w:rsidR="00C93ABD" w:rsidRPr="00C93ABD" w:rsidRDefault="00C93ABD" w:rsidP="00C93AB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428BB555" w14:textId="77777777" w:rsidR="00C93ABD" w:rsidRPr="00C93ABD" w:rsidRDefault="00C93ABD" w:rsidP="00C93A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14:paraId="0A3D34CC" w14:textId="77777777" w:rsidR="00C93ABD" w:rsidRDefault="00C93ABD" w:rsidP="00EA12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092258" w14:textId="77777777" w:rsidR="00EA12B9" w:rsidRDefault="00EA12B9" w:rsidP="00EA12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D05349" w14:textId="00E674CB" w:rsidR="00EA12B9" w:rsidRDefault="00EA12B9" w:rsidP="00EA12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12B9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SIMPULAN</w:t>
      </w:r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12, Bold)</w:t>
      </w:r>
    </w:p>
    <w:p w14:paraId="0C017F0C" w14:textId="1C180032" w:rsidR="00EA12B9" w:rsidRDefault="00EA12B9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837549" w14:textId="77777777" w:rsidR="00EA12B9" w:rsidRPr="00EA12B9" w:rsidRDefault="00EA12B9" w:rsidP="00EA12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Simpulan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argumentasi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dibangun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risetnya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Simpulan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bukanlah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rangkuman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pamungkas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risetnya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betolak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padang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2B9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EA12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96E4AC" w14:textId="411347DF" w:rsidR="00EA12B9" w:rsidRDefault="00EA12B9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B90A03" w14:textId="24C1C858" w:rsidR="00B3229E" w:rsidRDefault="00B3229E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2F94BD" w14:textId="01C88672" w:rsidR="00B3229E" w:rsidRDefault="00B3229E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DA649C" w14:textId="49527A0F" w:rsidR="00C93ABD" w:rsidRDefault="00C93ABD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21638F" w14:textId="27F558DD" w:rsidR="00C93ABD" w:rsidRDefault="00C93ABD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5EF021" w14:textId="772ECD4B" w:rsidR="00C93ABD" w:rsidRDefault="00C93ABD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86B5FF" w14:textId="77777777" w:rsidR="00C93ABD" w:rsidRDefault="00C93ABD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457DD4" w14:textId="77777777" w:rsidR="00B3229E" w:rsidRDefault="00B3229E" w:rsidP="00EA12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70244D" w14:textId="0B9687D6" w:rsidR="00EA12B9" w:rsidRDefault="00EA12B9" w:rsidP="00EA12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DAFTAR PUSTAKA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Font Time News Roman Size 12, Bold)</w:t>
      </w:r>
    </w:p>
    <w:p w14:paraId="28E5CEB9" w14:textId="0EE1A1DE" w:rsidR="00EA12B9" w:rsidRDefault="00EA12B9" w:rsidP="00EA12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daftar Pustaka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stytle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APA</w:t>
      </w:r>
      <w:r w:rsidR="00BB10CE">
        <w:rPr>
          <w:rFonts w:ascii="Times New Roman" w:hAnsi="Times New Roman" w:cs="Times New Roman"/>
          <w:sz w:val="24"/>
          <w:szCs w:val="24"/>
          <w:lang w:val="en-US"/>
        </w:rPr>
        <w:t xml:space="preserve"> 7 Editions</w:t>
      </w:r>
    </w:p>
    <w:p w14:paraId="406653DC" w14:textId="78F8DE0B" w:rsidR="007734F6" w:rsidRPr="00B3229E" w:rsidRDefault="007734F6" w:rsidP="007734F6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Andriyansah, A.,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Rulinawaty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R., &amp;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Zainudin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A. (2022). THE ENCOURAGEMENT OF ERGO-ICONIC SERVICE VALUES TOWARD AGILE GOVERNMENT TO IMPROVE THE GOVERNMENT SERVICE PERFORMANCE.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CosmoGov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8(1), 1-13. </w:t>
      </w:r>
    </w:p>
    <w:p w14:paraId="7E6B3664" w14:textId="0E0CA3DB" w:rsidR="00B3229E" w:rsidRPr="00B3229E" w:rsidRDefault="00B3229E" w:rsidP="007734F6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Irmawaty, I., Hamdani, M., Surapto, D., Riana, K. E., &amp; Iriani, F. (2021). Pelatihan Administrasi Dan Keuangan Bumdes Makmur Anugerah Lestari Kota Ciomas Bogor–Jawa Barat. </w:t>
      </w:r>
      <w:r w:rsidRPr="00B3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Prosiding Senapenmas</w:t>
      </w:r>
      <w:r w:rsidRPr="00B3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171-178.</w:t>
      </w:r>
    </w:p>
    <w:p w14:paraId="28048B9E" w14:textId="273E60BD" w:rsidR="00B3229E" w:rsidRPr="00B3229E" w:rsidRDefault="007734F6" w:rsidP="00B3229E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Nasoha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Ngarbingan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H. K., &amp;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Ginting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G. (2022). The power of community engagement for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deliveringco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-creation value (Case: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Paguyuban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Sentra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Industri</w:t>
      </w:r>
      <w:proofErr w:type="spellEnd"/>
      <w:r w:rsidR="00B3229E"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Tempe Sanan-Malang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Timur). Journal of Community Development, 5(3), 72-83. doi:10.32535/</w:t>
      </w:r>
      <w:proofErr w:type="gramStart"/>
      <w:r w:rsidRPr="00B3229E">
        <w:rPr>
          <w:rFonts w:ascii="Times New Roman" w:hAnsi="Times New Roman" w:cs="Times New Roman"/>
          <w:sz w:val="24"/>
          <w:szCs w:val="24"/>
          <w:lang w:val="en-US"/>
        </w:rPr>
        <w:t>jcda.v</w:t>
      </w:r>
      <w:proofErr w:type="gramEnd"/>
      <w:r w:rsidRPr="00B3229E">
        <w:rPr>
          <w:rFonts w:ascii="Times New Roman" w:hAnsi="Times New Roman" w:cs="Times New Roman"/>
          <w:sz w:val="24"/>
          <w:szCs w:val="24"/>
          <w:lang w:val="en-US"/>
        </w:rPr>
        <w:t>5i3.1844</w:t>
      </w:r>
    </w:p>
    <w:p w14:paraId="413AF353" w14:textId="0A33A4F7" w:rsidR="007734F6" w:rsidRPr="00B3229E" w:rsidRDefault="007734F6" w:rsidP="007734F6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Pujiawati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Hutagaol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M. P.,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Pasaribu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Pandjaitan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N. K. (2022). The Challenges of University Graduates in The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Market During </w:t>
      </w:r>
      <w:proofErr w:type="gramStart"/>
      <w:r w:rsidRPr="00B3229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Industrial Revolution 4.0 Era.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>, 18(1), 1-13.</w:t>
      </w:r>
    </w:p>
    <w:p w14:paraId="7A4C56E4" w14:textId="53419992" w:rsidR="00B3229E" w:rsidRPr="00B3229E" w:rsidRDefault="00B3229E" w:rsidP="007734F6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Praningtyas, E. R. V., Subekti, R., &amp; Agustina, P. A. A. (2023). Does COVID-19 Pandemic Crisis Affect CSR Costs? Case of Indonesia. </w:t>
      </w:r>
      <w:r w:rsidRPr="00B3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Accounting Auditing and Business</w:t>
      </w:r>
      <w:r w:rsidRPr="00B3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3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B3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40-57.</w:t>
      </w:r>
    </w:p>
    <w:p w14:paraId="1112C36D" w14:textId="169CB73C" w:rsidR="007734F6" w:rsidRPr="00B3229E" w:rsidRDefault="007734F6" w:rsidP="007734F6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Subekti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Praningtyas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E. R. V., &amp;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Anggraini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>, P. A. A. (2023). I Increasing Satisfaction and Repurchase Intention on Contemporary Food and Beverages Through E-</w:t>
      </w:r>
      <w:proofErr w:type="gramStart"/>
      <w:r w:rsidRPr="00B3229E">
        <w:rPr>
          <w:rFonts w:ascii="Times New Roman" w:hAnsi="Times New Roman" w:cs="Times New Roman"/>
          <w:sz w:val="24"/>
          <w:szCs w:val="24"/>
          <w:lang w:val="en-US"/>
        </w:rPr>
        <w:t>commerce:-</w:t>
      </w:r>
      <w:proofErr w:type="gramEnd"/>
      <w:r w:rsidRPr="00B3229E">
        <w:rPr>
          <w:rFonts w:ascii="Times New Roman" w:hAnsi="Times New Roman" w:cs="Times New Roman"/>
          <w:sz w:val="24"/>
          <w:szCs w:val="24"/>
          <w:lang w:val="en-US"/>
        </w:rPr>
        <w:t>. Terbuka Journal of Economics and Business, 4(1), 11-20.</w:t>
      </w:r>
    </w:p>
    <w:p w14:paraId="152E308C" w14:textId="64C04AAB" w:rsidR="007734F6" w:rsidRPr="00B3229E" w:rsidRDefault="007734F6" w:rsidP="007734F6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Sylvana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Awaluddin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Mutahajjid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A. (2020). Marketing strategy model based on the benefit of sharia property developers in Indonesia.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PalArch's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Journal of Archaeology of Egypt/Egyptology, 17(7), 8123-8135.</w:t>
      </w:r>
    </w:p>
    <w:p w14:paraId="3FFD6F38" w14:textId="28D4CBE2" w:rsidR="00B3229E" w:rsidRPr="00B3229E" w:rsidRDefault="00B3229E" w:rsidP="007734F6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Hidayah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Z., &amp; Lestari, E. P. (2020). Peran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Kinerja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Balai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Pengawas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. Coopetition: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29E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B3229E">
        <w:rPr>
          <w:rFonts w:ascii="Times New Roman" w:hAnsi="Times New Roman" w:cs="Times New Roman"/>
          <w:sz w:val="24"/>
          <w:szCs w:val="24"/>
          <w:lang w:val="en-US"/>
        </w:rPr>
        <w:t>, 11(3), 275-282.</w:t>
      </w:r>
    </w:p>
    <w:p w14:paraId="3329D122" w14:textId="3F319657" w:rsidR="007734F6" w:rsidRPr="007734F6" w:rsidRDefault="007734F6" w:rsidP="007734F6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34F6" w:rsidRPr="00773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E0F"/>
    <w:multiLevelType w:val="hybridMultilevel"/>
    <w:tmpl w:val="B992AED8"/>
    <w:lvl w:ilvl="0" w:tplc="1B248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DC0C7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AA27A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F5A9C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1AA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3C1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F8E7A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81C9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AD613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75A111B"/>
    <w:multiLevelType w:val="hybridMultilevel"/>
    <w:tmpl w:val="B3F2C638"/>
    <w:lvl w:ilvl="0" w:tplc="FB62A7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C424B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76AC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3D815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CA45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BB699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AD223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6A9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32D2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98246F7"/>
    <w:multiLevelType w:val="hybridMultilevel"/>
    <w:tmpl w:val="8CF2B8C6"/>
    <w:lvl w:ilvl="0" w:tplc="26B09C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5A233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584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63EF5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0FE5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7A6C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65092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87C3B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0F86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3FF70D0"/>
    <w:multiLevelType w:val="hybridMultilevel"/>
    <w:tmpl w:val="69A69C72"/>
    <w:lvl w:ilvl="0" w:tplc="55C82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F505B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B64FE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41EE6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223F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B62E9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FC8D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3466C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83E17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591091206">
    <w:abstractNumId w:val="2"/>
  </w:num>
  <w:num w:numId="2" w16cid:durableId="1622105474">
    <w:abstractNumId w:val="1"/>
  </w:num>
  <w:num w:numId="3" w16cid:durableId="239414725">
    <w:abstractNumId w:val="3"/>
  </w:num>
  <w:num w:numId="4" w16cid:durableId="25987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B9"/>
    <w:rsid w:val="00004AB9"/>
    <w:rsid w:val="00071728"/>
    <w:rsid w:val="007734F6"/>
    <w:rsid w:val="00B3229E"/>
    <w:rsid w:val="00BB10CE"/>
    <w:rsid w:val="00C93ABD"/>
    <w:rsid w:val="00EA12B9"/>
    <w:rsid w:val="00EE1F1D"/>
    <w:rsid w:val="00F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A725"/>
  <w15:chartTrackingRefBased/>
  <w15:docId w15:val="{E4F81609-5C9A-4060-B6C2-67ECA277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A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12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1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4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25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ANDRIYANSAH, S.E., M.M., Dr.E.</dc:creator>
  <cp:keywords/>
  <dc:description/>
  <cp:lastModifiedBy>Deri Prayudi</cp:lastModifiedBy>
  <cp:revision>3</cp:revision>
  <dcterms:created xsi:type="dcterms:W3CDTF">2023-11-09T03:56:00Z</dcterms:created>
  <dcterms:modified xsi:type="dcterms:W3CDTF">2023-11-09T04:07:00Z</dcterms:modified>
</cp:coreProperties>
</file>